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D" w:rsidRDefault="00700B9D">
      <w:pPr>
        <w:rPr>
          <w:lang w:val="en-US"/>
        </w:rPr>
      </w:pPr>
      <w:bookmarkStart w:id="0" w:name="_GoBack"/>
      <w:bookmarkEnd w:id="0"/>
    </w:p>
    <w:p w:rsidR="00866C5E" w:rsidRPr="00866C5E" w:rsidRDefault="00866C5E" w:rsidP="00866C5E">
      <w:pPr>
        <w:jc w:val="center"/>
        <w:rPr>
          <w:rFonts w:eastAsia="Times New Roman"/>
          <w:color w:val="000000"/>
          <w:lang w:eastAsia="lt-LT"/>
        </w:rPr>
      </w:pPr>
      <w:r w:rsidRPr="00866C5E">
        <w:rPr>
          <w:rFonts w:eastAsia="Times New Roman"/>
          <w:b/>
          <w:bCs/>
          <w:color w:val="000000"/>
          <w:lang w:val="en-GB" w:eastAsia="lt-LT"/>
        </w:rPr>
        <w:br/>
        <w:t>LIETUVOS RESPUBLIKOS SVEIKATOS APSAUGOS MINISTRAS</w:t>
      </w:r>
    </w:p>
    <w:p w:rsidR="00866C5E" w:rsidRPr="00866C5E" w:rsidRDefault="00866C5E" w:rsidP="00866C5E">
      <w:pPr>
        <w:jc w:val="center"/>
        <w:rPr>
          <w:rFonts w:eastAsia="Times New Roman"/>
          <w:color w:val="000000"/>
          <w:lang w:eastAsia="lt-LT"/>
        </w:rPr>
      </w:pPr>
      <w:r w:rsidRPr="00866C5E">
        <w:rPr>
          <w:rFonts w:eastAsia="Times New Roman"/>
          <w:b/>
          <w:bCs/>
          <w:color w:val="000000"/>
          <w:sz w:val="32"/>
          <w:szCs w:val="32"/>
          <w:lang w:val="en-GB" w:eastAsia="lt-LT"/>
        </w:rPr>
        <w:t> </w:t>
      </w:r>
    </w:p>
    <w:p w:rsidR="00866C5E" w:rsidRPr="00866C5E" w:rsidRDefault="00866C5E" w:rsidP="00866C5E">
      <w:pPr>
        <w:jc w:val="center"/>
        <w:rPr>
          <w:rFonts w:eastAsia="Times New Roman"/>
          <w:color w:val="000000"/>
          <w:lang w:eastAsia="lt-LT"/>
        </w:rPr>
      </w:pPr>
      <w:r w:rsidRPr="00866C5E">
        <w:rPr>
          <w:rFonts w:eastAsia="Times New Roman"/>
          <w:b/>
          <w:bCs/>
          <w:color w:val="000000"/>
          <w:lang w:val="en-GB" w:eastAsia="lt-LT"/>
        </w:rPr>
        <w:t>ĮSAKYMAS</w:t>
      </w:r>
    </w:p>
    <w:p w:rsidR="00866C5E" w:rsidRPr="00866C5E" w:rsidRDefault="00866C5E" w:rsidP="00866C5E">
      <w:pPr>
        <w:jc w:val="center"/>
        <w:rPr>
          <w:rFonts w:eastAsia="Times New Roman"/>
          <w:color w:val="000000"/>
          <w:lang w:eastAsia="lt-LT"/>
        </w:rPr>
      </w:pPr>
      <w:r w:rsidRPr="00866C5E">
        <w:rPr>
          <w:rFonts w:eastAsia="Times New Roman"/>
          <w:b/>
          <w:bCs/>
          <w:color w:val="000000"/>
          <w:lang w:eastAsia="lt-LT"/>
        </w:rPr>
        <w:t>DĖL LIETUVOS RESPUBLIKOS SVEIKATOS APSAUGOS MINISTRO 2011 M. LAPKRIČIO 11 D. ĮSAKYMO NR. V-964 „DĖL MAITINIMO ORGANIZAVIMO IKIMOKYKLINIO UGDYMO, BENDROJO UGDYMO MOKYKLOSE IR VAIKŲ SOCIALINĖS GLOBOS ĮSTAIGOSE TVARKOS APRAŠO PATVIRTINIMO“ PAKEITIMO</w:t>
      </w:r>
    </w:p>
    <w:p w:rsidR="00866C5E" w:rsidRPr="00866C5E" w:rsidRDefault="00866C5E" w:rsidP="00866C5E">
      <w:pPr>
        <w:jc w:val="left"/>
        <w:textAlignment w:val="center"/>
        <w:rPr>
          <w:rFonts w:eastAsia="Times New Roman"/>
          <w:color w:val="000000"/>
          <w:lang w:eastAsia="lt-LT"/>
        </w:rPr>
      </w:pPr>
      <w:r w:rsidRPr="00866C5E">
        <w:rPr>
          <w:rFonts w:eastAsia="Times New Roman"/>
          <w:color w:val="000000"/>
          <w:sz w:val="32"/>
          <w:szCs w:val="32"/>
          <w:lang w:eastAsia="lt-LT"/>
        </w:rPr>
        <w:t> </w:t>
      </w:r>
    </w:p>
    <w:p w:rsidR="00866C5E" w:rsidRPr="00866C5E" w:rsidRDefault="00866C5E" w:rsidP="00866C5E">
      <w:pPr>
        <w:jc w:val="center"/>
        <w:textAlignment w:val="center"/>
        <w:rPr>
          <w:rFonts w:eastAsia="Times New Roman"/>
          <w:color w:val="000000"/>
          <w:lang w:eastAsia="lt-LT"/>
        </w:rPr>
      </w:pPr>
      <w:r w:rsidRPr="00866C5E">
        <w:rPr>
          <w:rFonts w:eastAsia="Times New Roman"/>
          <w:color w:val="000000"/>
          <w:lang w:eastAsia="lt-LT"/>
        </w:rPr>
        <w:t>2015 m. rugpjūčio 27 d. Nr. V-998</w:t>
      </w:r>
    </w:p>
    <w:p w:rsidR="00866C5E" w:rsidRPr="00866C5E" w:rsidRDefault="00866C5E" w:rsidP="00866C5E">
      <w:pPr>
        <w:jc w:val="left"/>
        <w:rPr>
          <w:rFonts w:eastAsia="Times New Roman"/>
          <w:color w:val="000000"/>
          <w:lang w:eastAsia="lt-LT"/>
        </w:rPr>
      </w:pPr>
      <w:r w:rsidRPr="00866C5E">
        <w:rPr>
          <w:rFonts w:eastAsia="Times New Roman"/>
          <w:color w:val="000000"/>
          <w:sz w:val="6"/>
          <w:szCs w:val="6"/>
          <w:lang w:eastAsia="lt-LT"/>
        </w:rPr>
        <w:t> </w:t>
      </w:r>
    </w:p>
    <w:p w:rsidR="00866C5E" w:rsidRPr="00866C5E" w:rsidRDefault="00866C5E" w:rsidP="00866C5E">
      <w:pPr>
        <w:jc w:val="center"/>
        <w:textAlignment w:val="center"/>
        <w:rPr>
          <w:rFonts w:eastAsia="Times New Roman"/>
          <w:color w:val="000000"/>
          <w:lang w:eastAsia="lt-LT"/>
        </w:rPr>
      </w:pPr>
      <w:r w:rsidRPr="00866C5E">
        <w:rPr>
          <w:rFonts w:eastAsia="Times New Roman"/>
          <w:color w:val="000000"/>
          <w:lang w:eastAsia="lt-LT"/>
        </w:rPr>
        <w:t>Vilnius</w:t>
      </w:r>
    </w:p>
    <w:p w:rsidR="00866C5E" w:rsidRPr="00866C5E" w:rsidRDefault="00866C5E" w:rsidP="00866C5E">
      <w:pPr>
        <w:spacing w:line="281" w:lineRule="atLeast"/>
        <w:ind w:firstLine="312"/>
        <w:textAlignment w:val="center"/>
        <w:rPr>
          <w:rFonts w:eastAsia="Times New Roman"/>
          <w:color w:val="000000"/>
          <w:lang w:eastAsia="lt-LT"/>
        </w:rPr>
      </w:pPr>
      <w:r w:rsidRPr="00866C5E">
        <w:rPr>
          <w:rFonts w:eastAsia="Times New Roman"/>
          <w:color w:val="000000"/>
          <w:sz w:val="32"/>
          <w:szCs w:val="32"/>
          <w:lang w:eastAsia="lt-LT"/>
        </w:rPr>
        <w:t> </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spacing w:val="60"/>
          <w:lang w:eastAsia="lt-LT"/>
        </w:rPr>
        <w:t>1. Pakeičiu</w:t>
      </w:r>
      <w:r w:rsidRPr="00866C5E">
        <w:rPr>
          <w:rFonts w:eastAsia="Times New Roman"/>
          <w:color w:val="000000"/>
          <w:lang w:eastAsia="lt-LT"/>
        </w:rPr>
        <w:t>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 Pakeičiu 1 punktą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 Maitinimo organizavimo ikimokyklinio ugdymo, bendrojo ugdymo mokyklose ir vaikų socialinės globos įstaigose</w:t>
      </w:r>
      <w:r w:rsidRPr="00866C5E">
        <w:rPr>
          <w:rFonts w:eastAsia="Times New Roman"/>
          <w:b/>
          <w:bCs/>
          <w:color w:val="000000"/>
          <w:lang w:eastAsia="lt-LT"/>
        </w:rPr>
        <w:t> </w:t>
      </w:r>
      <w:r w:rsidRPr="00866C5E">
        <w:rPr>
          <w:rFonts w:eastAsia="Times New Roman"/>
          <w:color w:val="000000"/>
          <w:lang w:eastAsia="lt-LT"/>
        </w:rPr>
        <w:t>tvarkos aprašas (toliau – Tvarkos aprašas) nustato vaikų maitinimo, vykdomo ikimokyklinio ugdymo, bendrojo ugdymo mokyklose (toliau – mokyklos), šeimynose ir vaikų socialinės globos įstaigose, reikalavimus.“</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1.2. Pakeičiu 5.28 papunktį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„5.28.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1.3. Pakeičiu 5.29 papunktį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„5.29. 2008   m.   gruodžio   16   d.   Europos   Parlamento   ir   Tarybos  reglamentą  (EB) Nr. 1333/2008 dėl maisto priedų (OL 2008 L 354, p. 16) su paskutiniais pakeitimais, padarytais 2015 m. kovo 31 d. Komisijos reglamentu (ES) Nr. 2015/537 (OL 2015 L 88, p. 1).“</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1.4. Pakeičiu 10 punktą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„10.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1.5. Pakeičiu 13 punktą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„13. Vaikų maitinimas organizuojamas valgyklose ir kitose vaikams maitinti pritaikytose patalpose ar vietose laikantis nustatytų maisto saugos ir maisto tvarkymo reikalavimų [5.12, 5.15, 5.17, 5.23, 5.24, 5.33] ir sudarant sąlygas kiekvienam vaikui pavalgyti prie švaraus stalo.“</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1.6. Pakeičiu 17 punktą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 xml:space="preserve">„17. Vaikų maitinimui mokyklose draudžiamos tiekti šios maisto produktų grupės: bulvių, kukurūzų ar kitokie traškučiai, kiti riebaluose virti, skrudinti ar spraginti gaminiai; saldainiai; šokoladas ir šokolado gaminiai; konditerijos gaminiai su glajumi, glaistu, šokoladu ar kremu; sūrūs </w:t>
      </w:r>
      <w:r w:rsidRPr="00866C5E">
        <w:rPr>
          <w:rFonts w:eastAsia="Times New Roman"/>
          <w:color w:val="000000"/>
          <w:lang w:eastAsia="lt-LT"/>
        </w:rPr>
        <w:lastRenderedPageBreak/>
        <w:t xml:space="preserve">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w:t>
      </w:r>
      <w:proofErr w:type="spellStart"/>
      <w:r w:rsidRPr="00866C5E">
        <w:rPr>
          <w:rFonts w:eastAsia="Times New Roman"/>
          <w:color w:val="000000"/>
          <w:lang w:eastAsia="lt-LT"/>
        </w:rPr>
        <w:t>hidrinti</w:t>
      </w:r>
      <w:proofErr w:type="spellEnd"/>
      <w:r w:rsidRPr="00866C5E">
        <w:rPr>
          <w:rFonts w:eastAsia="Times New Roman"/>
          <w:color w:val="000000"/>
          <w:lang w:eastAsia="lt-LT"/>
        </w:rPr>
        <w:t xml:space="preserve"> augaliniai riebalai; maisto produktai, neatitinkantys šio Tvarkos aprašo 4 priede nustatytų kokybės reikalavimų [5.2, 5.13, 5.25, 5.29].“</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1.7. Pakeičiu 18 punktą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„18. Vaikams maitinti vaikų socialinės globos įstaigose draudžiamos tiekti</w:t>
      </w:r>
      <w:r w:rsidRPr="00866C5E">
        <w:rPr>
          <w:rFonts w:eastAsia="Times New Roman"/>
          <w:b/>
          <w:bCs/>
          <w:color w:val="000000"/>
          <w:lang w:eastAsia="lt-LT"/>
        </w:rPr>
        <w:t> </w:t>
      </w:r>
      <w:r w:rsidRPr="00866C5E">
        <w:rPr>
          <w:rFonts w:eastAsia="Times New Roman"/>
          <w:color w:val="000000"/>
          <w:lang w:eastAsia="lt-LT"/>
        </w:rPr>
        <w:t xml:space="preserve">šios maisto produktų grupės: sūrūs gaminiai  (kuriuose druskos daugiau  kaip 1 g/100 g; sūryje ir mėsos  gaminiuose – daugiau kaip 1,7 g/100 g); maisto produktai bei kramtomoji guma su maisto priedais (šio Tvarkos aprašo 3 priedas); gėrimai, kurių sudėtyje pridėtinio cukraus daugiau kaip 5 g/100 g; energiniai gėrimai; mechaniškai atskirta mėsa ir jos gaminiai; maisto produktai, pagaminti iš GMO, arba maisto produktai, į kurių sudėtį įeina GMO; maisto produktai, į kurių sudėtį įeina iš dalies </w:t>
      </w:r>
      <w:proofErr w:type="spellStart"/>
      <w:r w:rsidRPr="00866C5E">
        <w:rPr>
          <w:rFonts w:eastAsia="Times New Roman"/>
          <w:color w:val="000000"/>
          <w:lang w:eastAsia="lt-LT"/>
        </w:rPr>
        <w:t>hidrinti</w:t>
      </w:r>
      <w:proofErr w:type="spellEnd"/>
      <w:r w:rsidRPr="00866C5E">
        <w:rPr>
          <w:rFonts w:eastAsia="Times New Roman"/>
          <w:color w:val="000000"/>
          <w:lang w:eastAsia="lt-LT"/>
        </w:rPr>
        <w:t xml:space="preserve"> augaliniai riebalai; maisto produktai, neatitinkantys šio Tvarkos aprašo 4 priede nustatytų kokybės reikalavimų [5.13, 5.25, 5.29].“</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1.8. Pakeičiu 20.5 papunktį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„20.5. gaminant maistą turi būti naudojama kuo mažiau druskos ir cukraus (druskos ne daugiau kaip 1 g/100 g, pridėtinio cukraus ne daugiau kaip 5 g/100 g);“.</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1.9. Pakeičiu 20.8 papunktį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„20.8. kiekvieną dieną turi būti patiekta daržovių ir vaisių, rekomenduojama sezoninių, šviežių. Rekomenduojama, kad vaisiai būtų tiekiami atskiro maitinimo metu.“</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1.10. Pakeičiu 20.10 papunktį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„20.10. 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1.11. Pakeičiu 21 punktą ir jį išdėstau taip:</w:t>
      </w:r>
    </w:p>
    <w:p w:rsidR="00866C5E" w:rsidRPr="00866C5E" w:rsidRDefault="00866C5E" w:rsidP="00866C5E">
      <w:pPr>
        <w:ind w:firstLine="851"/>
        <w:rPr>
          <w:rFonts w:eastAsia="Times New Roman"/>
          <w:color w:val="000000"/>
          <w:lang w:eastAsia="lt-LT"/>
        </w:rPr>
      </w:pPr>
      <w:r w:rsidRPr="00866C5E">
        <w:rPr>
          <w:rFonts w:eastAsia="Times New Roman"/>
          <w:color w:val="000000"/>
          <w:lang w:eastAsia="lt-LT"/>
        </w:rPr>
        <w:t>„21. 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 Rekomenduojama sudaryti galimybę vaikams gauti ir karšto virinto geriamojo vandens. Ikimokyklinio ugdymo mokyklose vandeniui atsigerti turi būti naudojami asmeninio naudojimo arba vienkartiniai puodukai, stiklinaitės ar buteliukai.“</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1.12. Papildau 23.4 papunkčiu:</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„23.4. Tvarkos aprašas ir valgiaraščiai turi būti skelbiami mokyklos interneto svetainėje, jeigu ją turi.“</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 </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1.13. Pakeičiu 29.2 papunktį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„29.2.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1.14. Pakeičiu 37 punktą ir jį išdėstau taip:</w:t>
      </w:r>
    </w:p>
    <w:p w:rsidR="00866C5E" w:rsidRPr="00866C5E" w:rsidRDefault="00866C5E" w:rsidP="00866C5E">
      <w:pPr>
        <w:ind w:firstLine="851"/>
        <w:rPr>
          <w:rFonts w:eastAsia="Times New Roman"/>
          <w:color w:val="000000"/>
          <w:lang w:eastAsia="lt-LT"/>
        </w:rPr>
      </w:pPr>
      <w:r w:rsidRPr="00866C5E">
        <w:rPr>
          <w:rFonts w:eastAsia="Times New Roman"/>
          <w:color w:val="000000"/>
          <w:lang w:eastAsia="lt-LT"/>
        </w:rPr>
        <w:t xml:space="preserve">„37.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w:t>
      </w:r>
      <w:r w:rsidRPr="00866C5E">
        <w:rPr>
          <w:rFonts w:eastAsia="Times New Roman"/>
          <w:color w:val="000000"/>
          <w:lang w:eastAsia="lt-LT"/>
        </w:rPr>
        <w:lastRenderedPageBreak/>
        <w:t>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1.15. Pakeičiu 40 punktą ir jį išdėstau taip:</w:t>
      </w:r>
    </w:p>
    <w:p w:rsidR="00866C5E" w:rsidRPr="00866C5E" w:rsidRDefault="00866C5E" w:rsidP="00866C5E">
      <w:pPr>
        <w:ind w:firstLine="851"/>
        <w:rPr>
          <w:rFonts w:eastAsia="Times New Roman"/>
          <w:color w:val="000000"/>
          <w:lang w:eastAsia="lt-LT"/>
        </w:rPr>
      </w:pPr>
      <w:r w:rsidRPr="00866C5E">
        <w:rPr>
          <w:rFonts w:eastAsia="Times New Roman"/>
          <w:color w:val="000000"/>
          <w:lang w:eastAsia="lt-LT"/>
        </w:rPr>
        <w:t>„40.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1.16. Pakeičiu 41 punktą ir jį išdėstau taip:</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„41.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1.17. Pakeičiu 43 punktą ir jį išdėstau taip:</w:t>
      </w:r>
    </w:p>
    <w:p w:rsidR="00866C5E" w:rsidRPr="00866C5E" w:rsidRDefault="00866C5E" w:rsidP="00866C5E">
      <w:pPr>
        <w:ind w:firstLine="851"/>
        <w:rPr>
          <w:rFonts w:eastAsia="Times New Roman"/>
          <w:color w:val="000000"/>
          <w:lang w:eastAsia="lt-LT"/>
        </w:rPr>
      </w:pPr>
      <w:r w:rsidRPr="00866C5E">
        <w:rPr>
          <w:rFonts w:eastAsia="Times New Roman"/>
          <w:color w:val="000000"/>
          <w:lang w:eastAsia="lt-LT"/>
        </w:rPr>
        <w:t>„43.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1.18. Pakeičiu 48 punktą ir jį išdėstau taip:</w:t>
      </w:r>
    </w:p>
    <w:p w:rsidR="00866C5E" w:rsidRPr="00866C5E" w:rsidRDefault="00866C5E" w:rsidP="00866C5E">
      <w:pPr>
        <w:ind w:firstLine="851"/>
        <w:rPr>
          <w:rFonts w:eastAsia="Times New Roman"/>
          <w:color w:val="000000"/>
          <w:lang w:eastAsia="lt-LT"/>
        </w:rPr>
      </w:pPr>
      <w:r w:rsidRPr="00866C5E">
        <w:rPr>
          <w:rFonts w:eastAsia="Times New Roman"/>
          <w:color w:val="000000"/>
          <w:lang w:eastAsia="lt-LT"/>
        </w:rPr>
        <w:t>„48. Mokyklos visuomenės sveikatos priežiūros specialistas (jo nesant − kitas Vadovo įgaliotas asmuo) pagal kompetenciją prižiūri, kad vaikų maitinimas būtų organizuojamas pagal Tvarkos aprašo reikalavimus. Šis specialistas kartą per savaitę pildo Valgiaraščių ir vaikų maitinimo atitikties patikrinimo žurnalą (Tvarkos aprašo 2 priedas), nustatęs neatitikimų, juos užregistruoja Valgiaraščių ir vaikų maitinimo atitikties patikrinimo žurnale, nedelsdamas raštu apie tai informuoja maitinimo paslaugos teikėją, pranešimo kopiją pateikia Vadovui bei apie tai praneša teritorinei Valstybinei maisto ir veterinarijos tarnybai.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1.19. Pripažįstu netekusiu galios 49 punktą.</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 </w:t>
      </w:r>
    </w:p>
    <w:p w:rsidR="00866C5E" w:rsidRPr="00866C5E" w:rsidRDefault="00866C5E" w:rsidP="00866C5E">
      <w:pPr>
        <w:ind w:firstLine="851"/>
        <w:textAlignment w:val="center"/>
        <w:rPr>
          <w:rFonts w:eastAsia="Times New Roman"/>
          <w:color w:val="000000"/>
          <w:lang w:eastAsia="lt-LT"/>
        </w:rPr>
      </w:pPr>
      <w:r w:rsidRPr="00866C5E">
        <w:rPr>
          <w:rFonts w:eastAsia="Times New Roman"/>
          <w:color w:val="000000"/>
          <w:lang w:eastAsia="lt-LT"/>
        </w:rPr>
        <w:t>1.20. Pakeičiu 4 priedo 3 punktą ir jį išdėstau taip:</w:t>
      </w:r>
    </w:p>
    <w:p w:rsidR="00866C5E" w:rsidRPr="00866C5E" w:rsidRDefault="00866C5E" w:rsidP="00866C5E">
      <w:pPr>
        <w:keepNext/>
        <w:shd w:val="clear" w:color="auto" w:fill="FFFFFF"/>
        <w:ind w:firstLine="851"/>
        <w:textAlignment w:val="baseline"/>
        <w:rPr>
          <w:rFonts w:eastAsia="Times New Roman"/>
          <w:color w:val="000000"/>
          <w:lang w:eastAsia="lt-LT"/>
        </w:rPr>
      </w:pPr>
      <w:r w:rsidRPr="00866C5E">
        <w:rPr>
          <w:rFonts w:eastAsia="Times New Roman"/>
          <w:color w:val="000000"/>
          <w:lang w:eastAsia="lt-LT"/>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866C5E" w:rsidRPr="00866C5E" w:rsidRDefault="00866C5E" w:rsidP="00866C5E">
      <w:pPr>
        <w:ind w:firstLine="851"/>
        <w:rPr>
          <w:rFonts w:eastAsia="Times New Roman"/>
          <w:color w:val="000000"/>
          <w:lang w:eastAsia="lt-LT"/>
        </w:rPr>
      </w:pPr>
      <w:r w:rsidRPr="00866C5E">
        <w:rPr>
          <w:rFonts w:eastAsia="Times New Roman"/>
          <w:color w:val="000000"/>
          <w:lang w:eastAsia="lt-LT"/>
        </w:rPr>
        <w:t>2. N u s t a t a u, kad šis įsakymas įsigalioja 2016 m. sausio 1 d. </w:t>
      </w:r>
    </w:p>
    <w:p w:rsidR="00866C5E" w:rsidRPr="00866C5E" w:rsidRDefault="00866C5E" w:rsidP="00866C5E">
      <w:pPr>
        <w:spacing w:line="281" w:lineRule="atLeast"/>
        <w:jc w:val="left"/>
        <w:textAlignment w:val="center"/>
        <w:rPr>
          <w:rFonts w:eastAsia="Times New Roman"/>
          <w:color w:val="000000"/>
          <w:lang w:eastAsia="lt-LT"/>
        </w:rPr>
      </w:pPr>
      <w:r w:rsidRPr="00866C5E">
        <w:rPr>
          <w:rFonts w:eastAsia="Times New Roman"/>
          <w:color w:val="000000"/>
          <w:lang w:eastAsia="lt-LT"/>
        </w:rPr>
        <w:t> </w:t>
      </w:r>
    </w:p>
    <w:p w:rsidR="00866C5E" w:rsidRPr="00866C5E" w:rsidRDefault="00866C5E" w:rsidP="00866C5E">
      <w:pPr>
        <w:spacing w:line="281" w:lineRule="atLeast"/>
        <w:jc w:val="left"/>
        <w:textAlignment w:val="center"/>
        <w:rPr>
          <w:rFonts w:eastAsia="Times New Roman"/>
          <w:color w:val="000000"/>
          <w:lang w:eastAsia="lt-LT"/>
        </w:rPr>
      </w:pPr>
      <w:r w:rsidRPr="00866C5E">
        <w:rPr>
          <w:rFonts w:eastAsia="Times New Roman"/>
          <w:color w:val="000000"/>
          <w:lang w:eastAsia="lt-LT"/>
        </w:rPr>
        <w:t> </w:t>
      </w:r>
    </w:p>
    <w:p w:rsidR="00866C5E" w:rsidRPr="00866C5E" w:rsidRDefault="00866C5E" w:rsidP="00866C5E">
      <w:pPr>
        <w:spacing w:line="281" w:lineRule="atLeast"/>
        <w:jc w:val="left"/>
        <w:textAlignment w:val="center"/>
        <w:rPr>
          <w:rFonts w:eastAsia="Times New Roman"/>
          <w:color w:val="000000"/>
          <w:lang w:eastAsia="lt-LT"/>
        </w:rPr>
      </w:pPr>
      <w:r w:rsidRPr="00866C5E">
        <w:rPr>
          <w:rFonts w:eastAsia="Times New Roman"/>
          <w:color w:val="000000"/>
          <w:lang w:eastAsia="lt-LT"/>
        </w:rPr>
        <w:t> </w:t>
      </w:r>
    </w:p>
    <w:p w:rsidR="00866C5E" w:rsidRPr="00866C5E" w:rsidRDefault="00866C5E" w:rsidP="00866C5E">
      <w:pPr>
        <w:spacing w:line="281" w:lineRule="atLeast"/>
        <w:jc w:val="left"/>
        <w:textAlignment w:val="center"/>
        <w:rPr>
          <w:rFonts w:eastAsia="Times New Roman"/>
          <w:color w:val="000000"/>
          <w:lang w:eastAsia="lt-LT"/>
        </w:rPr>
      </w:pPr>
      <w:r w:rsidRPr="00866C5E">
        <w:rPr>
          <w:rFonts w:eastAsia="Times New Roman"/>
          <w:smallCaps/>
          <w:color w:val="000000"/>
          <w:lang w:eastAsia="lt-LT"/>
        </w:rPr>
        <w:t>S</w:t>
      </w:r>
      <w:r w:rsidRPr="00866C5E">
        <w:rPr>
          <w:rFonts w:eastAsia="Times New Roman"/>
          <w:color w:val="000000"/>
          <w:lang w:eastAsia="lt-LT"/>
        </w:rPr>
        <w:t>veikatos apsaugos ministrė </w:t>
      </w:r>
      <w:r w:rsidRPr="00866C5E">
        <w:rPr>
          <w:rFonts w:eastAsia="Times New Roman"/>
          <w:caps/>
          <w:color w:val="000000"/>
          <w:lang w:eastAsia="lt-LT"/>
        </w:rPr>
        <w:t>                                               </w:t>
      </w:r>
      <w:r w:rsidRPr="00866C5E">
        <w:rPr>
          <w:rFonts w:eastAsia="Times New Roman"/>
          <w:color w:val="000000"/>
          <w:lang w:eastAsia="lt-LT"/>
        </w:rPr>
        <w:t xml:space="preserve">                                  Rimantė </w:t>
      </w:r>
      <w:proofErr w:type="spellStart"/>
      <w:r w:rsidRPr="00866C5E">
        <w:rPr>
          <w:rFonts w:eastAsia="Times New Roman"/>
          <w:color w:val="000000"/>
          <w:lang w:eastAsia="lt-LT"/>
        </w:rPr>
        <w:t>Šalaševičiūtė</w:t>
      </w:r>
      <w:proofErr w:type="spellEnd"/>
    </w:p>
    <w:p w:rsidR="00866C5E" w:rsidRPr="00866C5E" w:rsidRDefault="00866C5E" w:rsidP="00866C5E">
      <w:pPr>
        <w:spacing w:line="281" w:lineRule="atLeast"/>
        <w:jc w:val="left"/>
        <w:textAlignment w:val="center"/>
        <w:rPr>
          <w:rFonts w:eastAsia="Times New Roman"/>
          <w:color w:val="000000"/>
          <w:lang w:eastAsia="lt-LT"/>
        </w:rPr>
      </w:pPr>
      <w:r w:rsidRPr="00866C5E">
        <w:rPr>
          <w:rFonts w:eastAsia="Times New Roman"/>
          <w:caps/>
          <w:color w:val="000000"/>
          <w:sz w:val="22"/>
          <w:szCs w:val="22"/>
          <w:lang w:eastAsia="lt-LT"/>
        </w:rPr>
        <w:t> </w:t>
      </w:r>
    </w:p>
    <w:p w:rsidR="00866C5E" w:rsidRPr="00866C5E" w:rsidRDefault="005B1CBD" w:rsidP="00866C5E">
      <w:pPr>
        <w:jc w:val="left"/>
        <w:rPr>
          <w:rFonts w:eastAsia="Times New Roman"/>
          <w:lang w:eastAsia="lt-LT"/>
        </w:rPr>
      </w:pPr>
      <w:r>
        <w:rPr>
          <w:rFonts w:eastAsia="Times New Roman"/>
          <w:lang w:eastAsia="lt-LT"/>
        </w:rPr>
        <w:pict>
          <v:rect id="_x0000_i1025" style="width:0;height:1.5pt" o:hralign="center" o:hrstd="t" o:hrnoshade="t" o:hr="t" fillcolor="#666" stroked="f"/>
        </w:pict>
      </w:r>
    </w:p>
    <w:tbl>
      <w:tblPr>
        <w:tblW w:w="4927" w:type="pct"/>
        <w:tblCellSpacing w:w="0" w:type="dxa"/>
        <w:tblCellMar>
          <w:left w:w="0" w:type="dxa"/>
          <w:right w:w="0" w:type="dxa"/>
        </w:tblCellMar>
        <w:tblLook w:val="04A0" w:firstRow="1" w:lastRow="0" w:firstColumn="1" w:lastColumn="0" w:noHBand="0" w:noVBand="1"/>
      </w:tblPr>
      <w:tblGrid>
        <w:gridCol w:w="507"/>
        <w:gridCol w:w="8990"/>
      </w:tblGrid>
      <w:tr w:rsidR="00866C5E" w:rsidRPr="00866C5E" w:rsidTr="00866C5E">
        <w:trPr>
          <w:trHeight w:val="81"/>
          <w:tblCellSpacing w:w="0" w:type="dxa"/>
        </w:trPr>
        <w:tc>
          <w:tcPr>
            <w:tcW w:w="0" w:type="auto"/>
            <w:hideMark/>
          </w:tcPr>
          <w:p w:rsidR="00866C5E" w:rsidRPr="00866C5E" w:rsidRDefault="00866C5E" w:rsidP="00866C5E">
            <w:pPr>
              <w:jc w:val="left"/>
              <w:rPr>
                <w:rFonts w:ascii="Tahoma" w:eastAsia="Times New Roman" w:hAnsi="Tahoma" w:cs="Tahoma"/>
                <w:sz w:val="18"/>
                <w:szCs w:val="18"/>
                <w:lang w:eastAsia="lt-LT"/>
              </w:rPr>
            </w:pPr>
          </w:p>
        </w:tc>
        <w:tc>
          <w:tcPr>
            <w:tcW w:w="4733" w:type="pct"/>
            <w:hideMark/>
          </w:tcPr>
          <w:p w:rsidR="00866C5E" w:rsidRPr="00866C5E" w:rsidRDefault="00866C5E" w:rsidP="00866C5E">
            <w:pPr>
              <w:rPr>
                <w:rFonts w:ascii="Tahoma" w:eastAsia="Times New Roman" w:hAnsi="Tahoma" w:cs="Tahoma"/>
                <w:sz w:val="18"/>
                <w:szCs w:val="18"/>
                <w:lang w:eastAsia="lt-LT"/>
              </w:rPr>
            </w:pPr>
          </w:p>
        </w:tc>
      </w:tr>
    </w:tbl>
    <w:p w:rsidR="00866C5E" w:rsidRPr="00866C5E" w:rsidRDefault="00866C5E" w:rsidP="00866C5E">
      <w:pPr>
        <w:jc w:val="center"/>
        <w:rPr>
          <w:rFonts w:ascii="Tahoma" w:eastAsia="Times New Roman" w:hAnsi="Tahoma" w:cs="Tahoma"/>
          <w:vanish/>
          <w:color w:val="000000"/>
          <w:sz w:val="18"/>
          <w:szCs w:val="18"/>
          <w:lang w:eastAsia="lt-LT"/>
        </w:rPr>
      </w:pPr>
    </w:p>
    <w:tbl>
      <w:tblPr>
        <w:tblW w:w="0" w:type="auto"/>
        <w:jc w:val="center"/>
        <w:tblCellSpacing w:w="0" w:type="dxa"/>
        <w:tblCellMar>
          <w:left w:w="0" w:type="dxa"/>
          <w:right w:w="0" w:type="dxa"/>
        </w:tblCellMar>
        <w:tblLook w:val="04A0" w:firstRow="1" w:lastRow="0" w:firstColumn="1" w:lastColumn="0" w:noHBand="0" w:noVBand="1"/>
        <w:tblDescription w:val=""/>
      </w:tblPr>
      <w:tblGrid>
        <w:gridCol w:w="6"/>
      </w:tblGrid>
      <w:tr w:rsidR="00866C5E" w:rsidRPr="00866C5E" w:rsidTr="00866C5E">
        <w:trPr>
          <w:tblCellSpacing w:w="0" w:type="dxa"/>
          <w:jc w:val="center"/>
        </w:trPr>
        <w:tc>
          <w:tcPr>
            <w:tcW w:w="0" w:type="auto"/>
            <w:shd w:val="clear" w:color="auto" w:fill="FFFFFF"/>
            <w:vAlign w:val="center"/>
          </w:tcPr>
          <w:p w:rsidR="00866C5E" w:rsidRPr="00866C5E" w:rsidRDefault="00866C5E" w:rsidP="00866C5E">
            <w:pPr>
              <w:jc w:val="right"/>
              <w:rPr>
                <w:rFonts w:ascii="Tahoma" w:eastAsia="Times New Roman" w:hAnsi="Tahoma" w:cs="Tahoma"/>
                <w:sz w:val="18"/>
                <w:szCs w:val="18"/>
                <w:lang w:eastAsia="lt-LT"/>
              </w:rPr>
            </w:pPr>
          </w:p>
        </w:tc>
      </w:tr>
    </w:tbl>
    <w:p w:rsidR="00866C5E" w:rsidRPr="00866C5E" w:rsidRDefault="00866C5E">
      <w:pPr>
        <w:rPr>
          <w:lang w:val="en-US"/>
        </w:rPr>
      </w:pPr>
    </w:p>
    <w:sectPr w:rsidR="00866C5E" w:rsidRPr="00866C5E" w:rsidSect="00A00F7C">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5E"/>
    <w:rsid w:val="005B1CBD"/>
    <w:rsid w:val="00700B9D"/>
    <w:rsid w:val="00866C5E"/>
    <w:rsid w:val="00A00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75C55-EEB5-4618-99AA-0F41720F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7129</Words>
  <Characters>4065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Švietimo įstaigų ūkio tarnyba</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L.Adikle</dc:creator>
  <cp:keywords/>
  <dc:description/>
  <cp:lastModifiedBy>DELL</cp:lastModifiedBy>
  <cp:revision>2</cp:revision>
  <dcterms:created xsi:type="dcterms:W3CDTF">2016-01-26T08:49:00Z</dcterms:created>
  <dcterms:modified xsi:type="dcterms:W3CDTF">2016-01-26T08:49:00Z</dcterms:modified>
</cp:coreProperties>
</file>